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24 125 vom 24. November 2025</w:t>
      </w:r>
    </w:p>
    <w:p>
      <w:r>
        <w:t>VS Kantonsgericht, 2025-11-24, FR</w:t>
      </w:r>
    </w:p>
    <w:p>
      <w:r>
        <w:rPr>
          <w:b/>
        </w:rPr>
        <w:t xml:space="preserve">Quelle: </w:t>
      </w:r>
      <w:r>
        <w:t>https://mcp.opencaselaw.ch/entscheid/vs_gerichte_C1 24 125</w:t>
      </w:r>
    </w:p>
    <w:p>
      <w:r>
        <w:t>FR: VS_GERICHTE C1 24 125 du 24 novembre 2025</w:t>
      </w:r>
    </w:p>
    <w:p>
      <w:r>
        <w:t>IT: VS_GERICHTE C1 24 125 del 24 novembre 2025</w:t>
      </w:r>
    </w:p>
    <w:p>
      <w:pPr>
        <w:pStyle w:val="Heading2"/>
      </w:pPr>
      <w:r>
        <w:t>Erwägungen</w:t>
      </w:r>
    </w:p>
    <w:p>
      <w:r>
        <w:rPr>
          <w:b/>
        </w:rPr>
        <w:t>E. 1</w:t>
      </w:r>
    </w:p>
    <w:p>
      <w:r>
        <w:t>let. a et al. 2 CPC) portant sur une contestation civile dont la valeur litigieuse se monte à 18'368 fr. 30, au vu des dernières conclusions formulées par la demanderesse en première instance. Eu égard à cette valeur litigieuse, la voie de l’appel au Tribunal cantonal (cf. art. 5 al. 1 let. b LACPC) est ouverte. Les parties ont reçu le jugement de première instance au plus tôt le 29 mai 2024. Mis à la poste le 26 juin 2024, le mémoire d’appel a été déposé dans le délai légal de trente jours applicable en procédure simplifiée, qui arrivait à échéance le 28 juin suivant (art. 243 al. 1 et 311 al. 1 CPC ; art. 142 al. 1 CPC). Il est, sous cet angle, recevable.</w:t>
      </w:r>
    </w:p>
    <w:p>
      <w:r>
        <w:rPr>
          <w:b/>
        </w:rPr>
        <w:t>E. 1.1</w:t>
      </w:r>
    </w:p>
    <w:p>
      <w:r>
        <w:t>Le 1er janvier 2025 est entrée en vigueur la novelle du 17 mars 2023, qui modifie certaines dispositions du code de procédure civile suisse du 19 décembre 2008 (RO 2023 p. 491 ; ci-après : nCPC). En vertu de l’article 404 al. 1 nCPC, les procédures en cours à l'entrée en vigueur de la présente loi sont régies par l'ancien droit de</w:t>
      </w:r>
    </w:p>
    <w:p>
      <w:r>
        <w:t>- 6 - procédure, sous réserve d'un certain nombre de dispositions immédiatement applicables énumérées à l'article 407f nCPC, alors que selon l'article 405 al. 1 nCPC, les voies de droit sont régies par le droit en vigueur au moment de la communication de la décision aux parties, par quoi l’on entend la date d’envoi de l’acte par le tribunal (ATF 137 III 130 consid. 2, 127 consid. 2). La décision attaquée a, en l’espèce, été expédiée sous pli recommandé du 28 mai 2024 aux parties et le recours a été formé le 26 juin 2024, de sorte qu'en application des dispositions transitoires précitées, la présente cause demeure soumise aux dispositions du code de procédure civile en vigueur jusqu’au 31 décembre 2024 (ci-après : CPC).</w:t>
      </w:r>
    </w:p>
    <w:p>
      <w:r>
        <w:rPr>
          <w:b/>
        </w:rPr>
        <w:t>E. 1.2</w:t>
      </w:r>
    </w:p>
    <w:p>
      <w:r>
        <w:t>La décision entreprise est une décision finale de nature patrimoniale (cf. art. 308 al.</w:t>
      </w:r>
    </w:p>
    <w:p>
      <w:r>
        <w:rPr>
          <w:b/>
        </w:rPr>
        <w:t>E. 1.3</w:t>
      </w:r>
    </w:p>
    <w:p>
      <w:r>
        <w:t>En vertu de l’article 5 al. 2 LACPC, un juge cantonal unique est compétent pour statuer sur l'appel lorsque, comme en l’espèce, la procédure simplifiée était applicable en première instance. Le Tribunal est pour le surplus habilité à statuer sur pièces (art. 316 al. 1 CPC).</w:t>
      </w:r>
    </w:p>
    <w:p>
      <w:r>
        <w:rPr>
          <w:b/>
        </w:rPr>
        <w:t>E. 1.4.1</w:t>
      </w:r>
    </w:p>
    <w:p>
      <w:r>
        <w:t>Selon l’article 311 CPC, l’appel peut être formé pour violation du droit (let. a) et constatation inexacte des faits (let. b). L’autorité d’appel dispose ainsi d’un plein pouvoir d’examen en fait et en droit (ATF 138 III 374 consid. 4.3.1), qui ne dispense toutefois pas la partie appelante de motiver son appel (JEANDIN, Commentaire romand, Code de procédure civile, 2ème éd. 2019, n. 1 ad art. 310 CPC et les références). Pour satisfaire à cette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 arrêt du tribunal fédéral</w:t>
      </w:r>
    </w:p>
    <w:p>
      <w:r>
        <w:t>- 7 - 5A_453/2022 du 13 décembre 2022 consid. 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 arrêt du Tribunal fédéral 5A_524/2023 du 14 décembre 2023 consid. 3.3.1 et les références). Ainsi, notamment, lorsque la motivation de l'appel est identique aux moyens qui avaient déjà été présentés en première instance,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Tribunal fédéral 4A_463/2023 du 24 avril 2024 consid. 4.1 et les références). En effet, la motivation est une condition de recevabilité de l’appel prévue par la loi, qui doit être examinée d’office par le tribunal (arrêt du Tribunal fédéral 5A_247/2013 du 15 octobre 2013 consid. 3.1). Enfin, les exigences relatives à la motivation de l’appel s’appliquent y compris lorsque la maxime inquisitoire est applicable (ATF 147 III 176 consid. 4.2).</w:t>
      </w:r>
    </w:p>
    <w:p>
      <w:r>
        <w:rPr>
          <w:b/>
        </w:rPr>
        <w:t>E. 1.4.2</w:t>
      </w:r>
    </w:p>
    <w:p>
      <w:r>
        <w:t>Dans le cas particulier, l'appelant, qui conteste, pour la première fois en appel, la qualité pour agir de l'appelée, se plaint également d'une violation du principe de la bonne foi de l'administré, en ce que la confiance qu'il a mise dans la décision communale d'octroi de l'aide sociale à sa fille mineure, non remboursable en vertu de l'article 21 al.</w:t>
      </w:r>
    </w:p>
    <w:p>
      <w:r>
        <w:rPr>
          <w:b/>
        </w:rPr>
        <w:t>E. 4</w:t>
      </w:r>
    </w:p>
    <w:p>
      <w:r>
        <w:t>Ce dernier ne conteste pas que les frais de placement de sa fille, dont le remboursement est réclamé céans à hauteur de 18'368 fr. 30, ont effectivement été payés aux institutions concernées par l'appelée. Il oppose toutefois à cette demande sa bonne foi, estimant qu'il doit être protégé dans la croyance qu'il n'aurait pas à rembourser ces frais, laquelle est née de la décision prise</w:t>
      </w:r>
    </w:p>
    <w:p>
      <w:r>
        <w:t>- 10 - par l'appelée le 21 mars 2018 octroyant l'aide sociale à sa fille, rapprochée du principe général découlant de l'article 21 al. 4 LIAS, prévoyant l'absence d'obligation de rembourser l'aide sociale lorsque, comme c'est le cas dans la présente cause, le dossier a été ouvert au nom d'une personne mineure. Il estime que la subrogation légale prévue à l'article 289 al. 2 CPC doit s'incliner devant ce principe général, dès lors qu'il ne pouvait pas "se rendre compte qu'il n'avait pas droit à l'aide sociale en raison de la subrogation légale prévue".</w:t>
      </w:r>
    </w:p>
    <w:p>
      <w:r>
        <w:rPr>
          <w:b/>
        </w:rPr>
        <w:t>E. 4.1.1</w:t>
      </w:r>
    </w:p>
    <w:p>
      <w:r>
        <w:t>L'article 276 al. 1 CC met à la charge des père et mère d'un enfant l'obligation de pourvoir à son entretien et, notamment, d'assumer les frais de son éducation et de sa formation ainsi que les mesures prises pour le protéger. L'entretien est assuré par les soins et l'éducation ou, lorsque l'enfant n'est pas sous la garde de ses père et mère, par des prestations pécuniaires (art. 276 al. 2 CC). L'obligation d'entretien dure en principe jusqu'à la majorité de l'enfant (art. 277 al. 1 CC). Le droit à la contribution d'entretien appartient à l'enfant et, tant qu'il est mineur, il est satisfait par une prestation versée à son représentant légal ou au détenteur du droit de garde (art. 289 al. 1 CC). Toutefois, si la collectivité publique prend en charge l'entretien, la prétention à la contribution d'entretien passe à cette dernière, avec tous les droits qui lui sont rattachés (art. 289 al. 2 CC). L'article 289 al. 2 CC, qui crée un cas de subrogation légale au sens de l'article 166 CO, vise en particulier les prestations de l'assistance publique ou de l'aide sociale, y compris les avances. Il inclut aussi bien les prestations futures dont il est établi qu'elles devront être avancées que celles versées par le passé (arrêt du Tribunal fédéral 5D_211/2019 du 29 mai 2020 consid. 5.2.4 et les arrêts cités). Sont notamment visés les frais découlant du prononcé de mesures de protection de l’enfant, par exemple les frais engendrés par le placement de l’enfant en foyer (ATF 141 III 401 et les références ; MEIER, Commentaire romand, 2ème éd., 2024, n. 44 ad Intro. art. 307 - 315b). Lorsque la contribution d'entretien a d'ores et déjà été fixée par décision judiciaire (art. 279 CC) ou par convention (art. 287 CC), la créance passe à la collectivité publique sitôt qu'elle est exigible. Si, en revanche, elle n'a pas été fixée, la collectivité publique doit exercer elle-même l'action en entretien au sens de l'article 279 CC (ATF 148 III 353 consid. 4.1 et les références). En d'autres termes, la subrogation porte non seulement sur les contributions d'entretien déjà fixées, mais également sur le droit de réclamer l'entretien en justice (PERRIN, Commentaire romand, 2ème éd., 2024, n. 10 et 11 ad art. 289 CC et l'auteur cité en note de bas de page n. 23).</w:t>
      </w:r>
    </w:p>
    <w:p>
      <w:r>
        <w:t>- 11 - En Valais, le droit des collectivités publiques de demander aux parents, en vertu de la subrogation de l'article 289 al. 2 CC, le remboursement des montants qu'elles ont payés pour le placement de leur enfant dans une institution spécialisée est expressément prévu par le droit public cantonal relatif à l'aide sociale, plus spécifiquement à l'article 20 al. 1 LIAS.</w:t>
      </w:r>
    </w:p>
    <w:p>
      <w:r>
        <w:rPr>
          <w:b/>
        </w:rPr>
        <w:t>E. 4.1.2</w:t>
      </w:r>
    </w:p>
    <w:p>
      <w:r>
        <w:t>C'est également ce droit public cantonal qui règle le versement d'avances pour l'entretien de l'enfant lorsque les père et mère ne satisfont pas à leur obligation d'entretien (art. 293 al. 2 CC ; PERRIN, Commentaire romand, 2ème éd., 2024, n. 1 ad art. 293 CC ; ATF 143 III 177 consid. 6.3.1). La LIAS et son règlement d'exécution (RELIAS, version en vigueur le 1er janvier 2016) prévoient ainsi que les pensions allouées aux enfants au titre de contribution aux frais d'entretien en cas de divorce donnent droit à des avances (art. 4 al. 2 let. c, 16 al. 1 let. b et 20 LIAS ; art. 47 al. 1 RELIAS), dont les modalités, s'agissant de la prise en charge des frais de placement des mineurs et mesures assimilées, sont prévues dans la directive du 1er mars 2017 émise par le Département de la santé, des affaires sociales et de la culture en application de l'article 47 al. 2 RELIAS. Selon le chiffre 3 lettre a et b de cette directive, la commune, à qui incombe l'aide sociale en vertu de l'article 4 al. 1 LIAS, règle la part des frais de placement à charge des parents à l'institution concernée, après avoir été informée par le SCJ du placement et des coûts inhérents à celui-ci. Les montants versés par la commune constituent partiellement une avance sur l'obligation d'entretien des parents au sens de l'article 276 CC et partiellement une aide sociale au sens strict. Pour la part constituant une avance sur l'obligation d'entretien des parents, la directive prévoit (ch. 3 let. b), à l'instar des article 289 al. 2 CC et 20 al. 1 LIAS, que la commune est subrogée aux droits de l'enfant, en sorte qu'elle peut agir en son propre nom pour réclamer les montants dus au titre de l'entretien de ce dernier. Le chiffre 6.1 lettre a de la directive rappelle d'ailleurs que tous les revenus de l'enfant, parmi lesquels les pensions alimentaires, reviennent à la commune à titre de remboursement des avances effectuées. Quant à la part constituant une aide sociale au sens strict, elle n'entre en ligne de compte que si les parents ne contribuent pas ou pas entièrement aux frais de placement de l'enfant. Dans cette hypothèse, la directive stipule à son chiffre 3 lettres c et h que la commune, par le centre médico-social compétent (cf. art. 4 al. 23 LIAS), doit ouvrir un dossier d'aide sociale au nom de l'enfant et que les frais de placement qui restent à la charge de l'aide sociale ne sont pas remboursables, puisqu'ils concernent spécifiquement l'enfant mineur, lequel est exempté de toute obligation de</w:t>
      </w:r>
    </w:p>
    <w:p>
      <w:r>
        <w:t>- 12 - remboursement en vertu de l'article 21 al. 4 LIAS, auquel renvoie expressément le chiffre 3 lettre c de la directive.</w:t>
      </w:r>
    </w:p>
    <w:p>
      <w:r>
        <w:rPr>
          <w:b/>
        </w:rPr>
        <w:t>E. 4.1.3</w:t>
      </w:r>
    </w:p>
    <w:p>
      <w:r>
        <w:t>Aux termes de l'article 5 al. 3 Cst., les organes de l'État et les particuliers doivent agir de manière conforme aux règles de la bonne foi. De ce principe général découle notamment le droit fondamental du particulier à la protection de sa bonne foi dans ses relations avec l'État, consacré à l'article 9 Cst.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(arrêt du Tribunal fédéral 9C_445/2021 du 30 décembre 2021 consid. 5.1 et les arrêts cités).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(arrêt du Tribunal fédéral 9C_445/2021 précité et les références).</w:t>
      </w:r>
    </w:p>
    <w:p>
      <w:r>
        <w:rPr>
          <w:b/>
        </w:rPr>
        <w:t>E. 4.2</w:t>
      </w:r>
    </w:p>
    <w:p>
      <w:r>
        <w:t>En l'occurrence, l'appelée, dûment informée du placement de B _________ et des coûts inhérents à ce placement, les a réglés aux institutions concernées conformément au chiffre 3 lettre b de la directive du 1er mars 2017. Jusqu'au mois de novembre 2017, elle les a refacturés à l'appelant, qui s'en est toujours acquitté. Dès le mois de décembre 2017, soit dès le moment où ce dernier a saisi le CMS de I _________ d'une demande d'aide sociale, l'appelée n'a plus répercuté ces frais sur l'appelant. Puis le 21 mars 2018, elle a accordé l'aide sociale à B _________ avec effet au 1er décembre 2017. Elle l'a fait sur la base du dossier d'aide sociale instruit par le CMS précité qui, après avoir évalué la situation financière de l'appelant, a estimé qu'il n'était pas en mesure de s'acquitter des frais de placement de sa fille. Au vu du droit public cantonal relatif à l'aide sociale en vigueur à ce moment-là rappelé ci-avant (cf. consid. 4.1.2) et à défaut pour l'appelant d'avoir requis et obtenu la suppression de la contribution d'entretien à laquelle il était astreint en vertu du jugement de divorce prononcé le 5 décembre 2008, l'appelée, à qui incombait le devoir de faire</w:t>
      </w:r>
    </w:p>
    <w:p>
      <w:r>
        <w:t>- 13 - l'avance des frais de placement de B _________ à l'institution concernée, se devait, en vertu de l'article 289 al. 2 CC, mais également de l'article 20 al. 1 LIAS et du chiffre 6.1 de la directive du 1er mars 2017, d'exercer la subrogation légale en sa qualité de cessionnaire légale de la contribution d'entretien due à cette enfant et de réclamer à l'appelant le remboursement de ces frais, comme elle l'a fait jusqu'au mois de novembre 2017. Il ne lui appartenait pas de réexaminer la capacité financière de l'appelant à pourvoir à l'entretien de son enfant. Elle a pourtant, sur demande de ce dernier, procédé à cet examen par l'intermédiaire du CMS et a constaté l'insuffisance de ses ressources financières pour s'acquitter des frais de placement de sa fille, avant d'accorder, par décision du 21 mars 2018, l'aide sociale à B _________ sur la base du dossier ainsi instruit. Prise dans le cadre de la situation concrète de l'appelant, à l'égard de sa propre fille et dans les limites de la compétence de l'appelée, à qui incombe l'aide sociale en vertu de l'article 4 al. 1 LIAS, cette décision gratifie clairement l'appelant d'un avantage contraire à la réglementation en vigueur, puisque, comme il le relève pertinemment, l'aide sociale consentie, comme en l'espèce, à une enfant mineur est exemptée de toute obligation de remboursement en vertu de l'article 21 al. 4 LIAS. On ne saurait reprocher à l'intéressé de ne pas s'être rendu compte du caractère erroné de cette décision compte tenu du principe de subsidiarité qui prévaut en matière d'aide sociale (cf. art. 2 LIAS), car s'il en avait eu conscience, notamment de ce que l'aide sociale est subsidiaire à toutes les autres sources de revenus auxquels peuvent prétendre les membres de l’unité familiale, telle, pour une enfant, la créance d'entretien constatée judiciairement, il n'aurait pas sollicité l'aide financière de l'appelée avant de s'être préalablement adressé au juge civil pour modifier cette obligation. On peut d'autant moins lui faire ce grief que la décision d'aide sociale prise par cette dernière a été immédiatement suivie d'effets, puisque les frais découlant du placement de B _________, qui a été maintenue en institution encore douze mois après la décision litigieuse, n'ont plus été refacturés à l'appelant, ce qui n'a pu que le conforter dans la confiance légitime qu'il avait pu mettre dans les assurances reçues sur le droit de sa fille à bénéficier de l'aide sociale. Ce n'est que huit mois après la fin de ce placement que l'appelée a adressé à l'appelant une facture de 18'368 fr. 30 pour le placement en question, soit à un moment où il lui était difficile de revenir sur les dispositions pécuniaires prises durant tout ce temps, compte tenu des garanties découlant de la décision d'aide sociale prononcée en faveur de sa fille, sans subir de préjudice financier au vu du budget établi le 28 décembre 2017. A cet égard, l'appelée se contente de soutenir qu'au vu de ce document, qui, rappelons-le, laisse apparaître un déficit de quelques 30 fr. par mois, l'appelant disposait bien plutôt d'un excédent mensuel de l'ordre de 3'000 fr. suffisant pour rembourser les frais de placement de sa fille, sans expliquer plus avant, ni par conséquent démontrer, comment elle parvient à cette</w:t>
      </w:r>
    </w:p>
    <w:p>
      <w:r>
        <w:t>- 14 - conclusion, clairement contraire à celle du CMS mandaté par elle pour examiner la situation financière de l'appelant. Elle ne prétend pas non plus, ni n'établit que ce dernier serait revenu à "meilleure fortune" par la suite. C'est donc à bon droit que l'appelant se prévaut de la protection de sa bonne foi dans ses relations avec l'appelée, l'intérêt à l'application du droit de subrogation légale découlant de l'article 289 al. 2 CC n'apparaissant pas à ce point prépondérant qu'il doive prendre le pas sur le droit fondamental du justiciable à ce que sa bonne foi dans ses relations avec les autorités soit préservé lorsque, comme dans la présente cause, celui-ci a réglé sa conduite d'après les décisions prises par l'administration, fussent-elles erronées.</w:t>
      </w:r>
    </w:p>
    <w:p>
      <w:r>
        <w:rPr>
          <w:b/>
        </w:rPr>
        <w:t>E. 5</w:t>
      </w:r>
    </w:p>
    <w:p>
      <w:r>
        <w:t>L'appel étant admis pour ce motif, il n'y a pas lieu d'examiner les autres griefs élevés à l'encontre de la décision querellée. L'appelant étant fondé, en vertu du principe de la bonne foi de l'administré, à opposer à l'exercice de la subrogation légale prévue à l'article 289 al. 2 CC l'aide sociale accordée à sa fille mineure et l'exemption du remboursement qui en découle conformément à l'article 24 al. 4 LIAS, la demande formée par l'appelée en remboursement des frais de placement de B _________ à hauteur de 18'368 fr. 30 ne peut qu'être rejetée.</w:t>
      </w:r>
    </w:p>
    <w:p>
      <w:r>
        <w:rPr>
          <w:b/>
        </w:rPr>
        <w:t>E. 6</w:t>
      </w:r>
    </w:p>
    <w:p>
      <w:r>
        <w:t>Au vu du sort de l'appel, les frais et dépens des deux instances (cf. art. 318 al. 3 CPC) doivent être mis à la charge de l'appelée qui succombe (art. 106 al. 1 CPC).</w:t>
      </w:r>
    </w:p>
    <w:p>
      <w:r>
        <w:rPr>
          <w:b/>
        </w:rPr>
        <w:t>E. 6.1.1</w:t>
      </w:r>
    </w:p>
    <w:p>
      <w:r>
        <w:t>Les frais de première instance, dont le montant, non contesté, a été fixé à 2'500 fr. conformément aux dispositions applicables (art. 13 al. 1 et 2 et 16 al. 1 LTar), sont confirmés. Ils sont prélevés sur l'avance du même montant effectuée par X _________, en sorte que l'appelée, à qui incombe ces frais, lui versera 2'500 fr. à titre de remboursement d'avances.</w:t>
      </w:r>
    </w:p>
    <w:p>
      <w:r>
        <w:rPr>
          <w:b/>
        </w:rPr>
        <w:t>E. 6.1.2</w:t>
      </w:r>
    </w:p>
    <w:p>
      <w:r>
        <w:t>Les honoraires de l'avocat sont fixés entre un minimum et un maximum, en fonction de la nature et de l'importance de la cause, de ses difficultés, de l'ampleur du travail, du temps utilement consacré et de la situation financière des parties (art. 27 al. 1 LTar). Pour les contestations et affaires civiles de nature pécuniaire, soumises à la procédure simplifiée, dont la valeur litigieuse se situe entre 15'001 fr. et 20'000 fr., les dépens oscillent entre 2'900 fr. et 4'000 fr. (art. 32 al. 1 LTar).</w:t>
      </w:r>
    </w:p>
    <w:p>
      <w:r>
        <w:t>- 15 - En l'occurrence, l'activité utilement déployée par le conseil de l'appelant a consisté, pour l'essentiel, en la prise de connaissance de la demande, en la rédaction d'un mémoire- réponse, en la préparation et en la participation aux séances des 7 mars et 23 mai 2024, ainsi qu'en la rédaction d'un courrier à l'intention du tribunal de première instance. Au vu de cette activité, de la situation financière des parties - supposée ordinaire - et de la difficulté ordinaire de la cause, les honoraires, TVA et débours, par 150 fr., compris, sont fixés à 3'500 francs. L'appelée lui versera donc une indemnité à concurrence de ce montant à titre de dépens de première instance.</w:t>
      </w:r>
    </w:p>
    <w:p>
      <w:r>
        <w:rPr>
          <w:b/>
        </w:rPr>
        <w:t>E. 6.2.1</w:t>
      </w:r>
    </w:p>
    <w:p>
      <w:r>
        <w:t>En seconde instance, l'émolument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présentait pas de difficulté particulière, de la situation financière des parties, des principes de la couverture des frais et de l'équivalence des prestations, l'émolument forfaitaire de décision (art. 95 al. 2 let. b CPC) est fixé à 1'000 fr. (art. 13 al. 1 et 2, 16 al. 1 et 19 LTar). Prélevé sur l'avance effectuée par l'appelant, il est mis à la charge de l'appelée, qui devra lui rembourser ce montant.</w:t>
      </w:r>
    </w:p>
    <w:p>
      <w:r>
        <w:rPr>
          <w:b/>
        </w:rPr>
        <w:t>E. 6.2.2</w:t>
      </w:r>
    </w:p>
    <w:p>
      <w:r>
        <w:t>En appel, l'activité utilement déployée par l'avocat de l'appelant a consisté en la rédaction d'une écriture d'appel de quinze pages, en la prise de connaissance de la détermination de l'appelée et en la rédaction d'une détermination spontanée déposée le 16 août 2024. Compte tenu de la valeur litigieuse, de la relative importance de l'affaire, de l'ampleur du dossier, ainsi que du temps utilement consacré à la rédaction de ces écritures par l'avocat de l'appelant, ses dépens sont arrêtés à 1'600 fr., TVA et débours, par 50 fr., compris (art. 27, 32 al. 1 et 35 al. 1 let. a LTar). Par ces motifs,</w:t>
      </w:r>
    </w:p>
    <w:p>
      <w:r>
        <w:t>- 16 - Prononce L'appel est admis et la décision du 28 mai 2024 du Tribunal des districts de Martigny et St-Maurice est réformée. En conséquence, il est statué : 1. La demande formée par la commune de D _________ est rejetée. 2. Les frais judiciaires de première instance, par 2'500 fr., et de la procédure d’appel, par 1'000 fr., sont mis à la charge de la commune de D _________. 3. La commune de D _________ versera 3'500 fr. (2'500 fr. + 1'000 fr.) à X _________ à titre de remboursement d’avances. 4. La commune de D _________ versera 5'100 fr. à X _________ à titre de dépens. Sion, le 24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